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32"/>
          <w:szCs w:val="32"/>
        </w:rPr>
      </w:pPr>
      <w:r w:rsidDel="00000000" w:rsidR="00000000" w:rsidRPr="00000000">
        <w:rPr>
          <w:sz w:val="32"/>
          <w:szCs w:val="32"/>
          <w:rtl w:val="0"/>
        </w:rPr>
        <w:t xml:space="preserve">Laurentian Fibromyalgia Association</w:t>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04">
      <w:pPr>
        <w:rPr>
          <w:sz w:val="24"/>
          <w:szCs w:val="24"/>
        </w:rPr>
      </w:pPr>
      <w:r w:rsidDel="00000000" w:rsidR="00000000" w:rsidRPr="00000000">
        <w:rPr>
          <w:sz w:val="24"/>
          <w:szCs w:val="24"/>
          <w:rtl w:val="0"/>
        </w:rPr>
        <w:t xml:space="preserve">To provide information and support to members and people around them on the different aspects of the disease and on existing resources. To heighten public awareness, inform health professionals and social service stakeholders.</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Services offered</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Support hotline</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Website, Facebook, Twitter</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Physical therapy classes designed for people with fibromyalgia</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Support groups in different areas of the Laurentians to break isolation</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Newsletter “ Fibro-Soleil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Conferences and workshops</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Rental of books and audio/visual materials</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DVD : Conference by Dr. Pierre Arsenault on fibromyalgia (detailed explanation of the disease, research avenues, medications, treatments, etc.).</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French version only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3151591" cy="14230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51591" cy="1423059"/>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 rue St-Georges, Saint-Jérôme (QC) J7Z 5C7</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(450) 569-7766 ou le 1-877-705-7766</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 (450) 569-7769</w:t>
      </w:r>
    </w:p>
    <w:p w:rsidR="00000000" w:rsidDel="00000000" w:rsidP="00000000" w:rsidRDefault="00000000" w:rsidRPr="00000000" w14:paraId="00000015">
      <w:pPr>
        <w:rPr/>
      </w:pPr>
      <w:r w:rsidDel="00000000" w:rsidR="00000000" w:rsidRPr="00000000">
        <w:rPr>
          <w:rFonts w:ascii="Times New Roman" w:cs="Times New Roman" w:eastAsia="Times New Roman" w:hAnsi="Times New Roman"/>
          <w:sz w:val="24"/>
          <w:szCs w:val="24"/>
          <w:rtl w:val="0"/>
        </w:rPr>
        <w:t xml:space="preserve">Site web :</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www.fibromyalgie-des-laurentides.ca</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inline distB="114300" distT="114300" distL="114300" distR="114300">
            <wp:extent cx="4557713" cy="14478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557713" cy="14478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ibromyalgie-des-laurentides.ca/" TargetMode="External"/><Relationship Id="rId8" Type="http://schemas.openxmlformats.org/officeDocument/2006/relationships/hyperlink" Target="http://www.fibromyalgie-des-laurentid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