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32"/>
          <w:szCs w:val="32"/>
        </w:rPr>
      </w:pPr>
      <w:r w:rsidDel="00000000" w:rsidR="00000000" w:rsidRPr="00000000">
        <w:rPr>
          <w:sz w:val="32"/>
          <w:szCs w:val="32"/>
          <w:rtl w:val="0"/>
        </w:rPr>
        <w:t xml:space="preserve">Association de la fibromyalgie des Laurentides</w:t>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Mission</w:t>
      </w:r>
    </w:p>
    <w:p w:rsidR="00000000" w:rsidDel="00000000" w:rsidP="00000000" w:rsidRDefault="00000000" w:rsidRPr="00000000" w14:paraId="00000004">
      <w:pPr>
        <w:rPr>
          <w:sz w:val="24"/>
          <w:szCs w:val="24"/>
        </w:rPr>
      </w:pPr>
      <w:r w:rsidDel="00000000" w:rsidR="00000000" w:rsidRPr="00000000">
        <w:rPr>
          <w:sz w:val="24"/>
          <w:szCs w:val="24"/>
          <w:rtl w:val="0"/>
        </w:rPr>
        <w:t xml:space="preserve">Offrir de l’information et du support aux membres et leur entourage concernant les multiples aspects de la maladie ainsi que sur les ressources existantes. Informer et sensibiliser le grand public ainsi que les professionnels de la santé et les intervenants des services sociaux.</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Services offerts</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Ligne d’écoute téléphonique</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Site web, Facebook, Twitter</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Cours d’activités physiques adaptés aux personnes atteintes</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Groupes de soutien dans différents secteurs des Laurentides, afin de briser l’isolement</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Journal « Fibro-Soleil »</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Conférences, ateliers et informations</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Location de livres et documents disponibles</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DVD : conférence du Dr. Pierre Arseneault sur la fibromyalgie (explications détaillées sur la maladie, pistes de recherche, médications, traitements etc.).</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114300" distT="114300" distL="114300" distR="114300">
            <wp:extent cx="3151591" cy="142305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51591" cy="142305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 rue St-Georges, Saint-Jérôme (QC) J7Z 5C7</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Tél. : (450) 569-7766 ou le 1-877-705-7766</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 (450) 569-7769</w:t>
      </w:r>
    </w:p>
    <w:p w:rsidR="00000000" w:rsidDel="00000000" w:rsidP="00000000" w:rsidRDefault="00000000" w:rsidRPr="00000000" w14:paraId="00000014">
      <w:pPr>
        <w:rPr/>
      </w:pPr>
      <w:r w:rsidDel="00000000" w:rsidR="00000000" w:rsidRPr="00000000">
        <w:rPr>
          <w:rFonts w:ascii="Times New Roman" w:cs="Times New Roman" w:eastAsia="Times New Roman" w:hAnsi="Times New Roman"/>
          <w:sz w:val="24"/>
          <w:szCs w:val="24"/>
          <w:rtl w:val="0"/>
        </w:rPr>
        <w:t xml:space="preserve">Site web :</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000ff"/>
            <w:sz w:val="24"/>
            <w:szCs w:val="24"/>
            <w:u w:val="single"/>
            <w:rtl w:val="0"/>
          </w:rPr>
          <w:t xml:space="preserve">www.fibromyalgie-des-laurentides.ca</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4557713" cy="14478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557713" cy="14478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ibromyalgie-des-laurentides.ca/" TargetMode="External"/><Relationship Id="rId8" Type="http://schemas.openxmlformats.org/officeDocument/2006/relationships/hyperlink" Target="http://www.fibromyalgie-des-laurentid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